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C3" w:rsidRPr="00DA30C3" w:rsidRDefault="00DA30C3" w:rsidP="00DA30C3">
      <w:pPr>
        <w:jc w:val="right"/>
        <w:rPr>
          <w:b/>
        </w:rPr>
      </w:pPr>
      <w:r>
        <w:rPr>
          <w:b/>
        </w:rPr>
        <w:t>Appendix 'A'</w:t>
      </w:r>
    </w:p>
    <w:p w:rsidR="00DA30C3" w:rsidRPr="00DA30C3" w:rsidRDefault="00DA30C3" w:rsidP="00DA30C3">
      <w:pPr>
        <w:jc w:val="right"/>
        <w:rPr>
          <w:b/>
        </w:rPr>
      </w:pPr>
    </w:p>
    <w:p w:rsidR="002757DB" w:rsidRPr="00DA30C3" w:rsidRDefault="00DA30C3">
      <w:pPr>
        <w:rPr>
          <w:b/>
        </w:rPr>
      </w:pPr>
      <w:r w:rsidRPr="00DA30C3">
        <w:rPr>
          <w:b/>
        </w:rPr>
        <w:t xml:space="preserve">2013 </w:t>
      </w:r>
      <w:r>
        <w:rPr>
          <w:b/>
        </w:rPr>
        <w:t>A</w:t>
      </w:r>
      <w:r w:rsidRPr="00DA30C3">
        <w:rPr>
          <w:b/>
        </w:rPr>
        <w:t xml:space="preserve">ctuarial </w:t>
      </w:r>
      <w:r>
        <w:rPr>
          <w:b/>
        </w:rPr>
        <w:t>V</w:t>
      </w:r>
      <w:r w:rsidRPr="00DA30C3">
        <w:rPr>
          <w:b/>
        </w:rPr>
        <w:t xml:space="preserve">aluation of the </w:t>
      </w:r>
      <w:r>
        <w:rPr>
          <w:b/>
        </w:rPr>
        <w:t>L</w:t>
      </w:r>
      <w:r w:rsidRPr="00DA30C3">
        <w:rPr>
          <w:b/>
        </w:rPr>
        <w:t xml:space="preserve">ancashire </w:t>
      </w:r>
      <w:r>
        <w:rPr>
          <w:b/>
        </w:rPr>
        <w:t>C</w:t>
      </w:r>
      <w:r w:rsidRPr="00DA30C3">
        <w:rPr>
          <w:b/>
        </w:rPr>
        <w:t xml:space="preserve">ounty </w:t>
      </w:r>
      <w:r>
        <w:rPr>
          <w:b/>
        </w:rPr>
        <w:t>P</w:t>
      </w:r>
      <w:r w:rsidRPr="00DA30C3">
        <w:rPr>
          <w:b/>
        </w:rPr>
        <w:t xml:space="preserve">ension </w:t>
      </w:r>
      <w:r>
        <w:rPr>
          <w:b/>
        </w:rPr>
        <w:t>F</w:t>
      </w:r>
      <w:r w:rsidRPr="00DA30C3">
        <w:rPr>
          <w:b/>
        </w:rPr>
        <w:t>und</w:t>
      </w:r>
    </w:p>
    <w:p w:rsidR="00DA30C3" w:rsidRPr="00DA30C3" w:rsidRDefault="00DA30C3">
      <w:pPr>
        <w:rPr>
          <w:b/>
          <w:sz w:val="28"/>
          <w:szCs w:val="28"/>
        </w:rPr>
      </w:pPr>
    </w:p>
    <w:p w:rsidR="00F42AB8" w:rsidRDefault="00F42AB8">
      <w:pPr>
        <w:rPr>
          <w:b/>
        </w:rPr>
      </w:pPr>
      <w:r>
        <w:rPr>
          <w:b/>
        </w:rPr>
        <w:t>Introduction</w:t>
      </w:r>
    </w:p>
    <w:p w:rsidR="00F42AB8" w:rsidRDefault="00F42AB8">
      <w:pPr>
        <w:rPr>
          <w:b/>
        </w:rPr>
      </w:pPr>
    </w:p>
    <w:p w:rsidR="00F42AB8" w:rsidRDefault="00F42AB8">
      <w:r>
        <w:t>This report presents the results of the 2013 actuarial valuation process at whole Fund level for consideration by the Committee in order to enable formal consultation with stakeholders on issues to be included in the revised Funding Strategy Statement (FSS)</w:t>
      </w:r>
      <w:r w:rsidR="00741084">
        <w:t>.</w:t>
      </w:r>
    </w:p>
    <w:p w:rsidR="00F42AB8" w:rsidRDefault="00F42AB8"/>
    <w:p w:rsidR="00F42AB8" w:rsidRDefault="001C6EAB">
      <w:r>
        <w:t xml:space="preserve">Consultation has already begun with individual employers in order to fit in with </w:t>
      </w:r>
      <w:r w:rsidR="00ED25CE">
        <w:t xml:space="preserve">the </w:t>
      </w:r>
      <w:r>
        <w:t>budgetary timetables which they adopt.</w:t>
      </w:r>
    </w:p>
    <w:p w:rsidR="001C6EAB" w:rsidRDefault="001C6EAB"/>
    <w:p w:rsidR="001C6EAB" w:rsidRDefault="001C6EAB">
      <w:r>
        <w:rPr>
          <w:b/>
        </w:rPr>
        <w:t>Background</w:t>
      </w:r>
    </w:p>
    <w:p w:rsidR="001C6EAB" w:rsidRDefault="001C6EAB"/>
    <w:p w:rsidR="001C6EAB" w:rsidRDefault="001C6EAB">
      <w:r>
        <w:t>Every three years the Fund's Actuary is required to carry out a formal valuation of the Fund in order to set employer contribution rates for</w:t>
      </w:r>
      <w:r w:rsidR="00941A41">
        <w:t xml:space="preserve"> the next three years.</w:t>
      </w:r>
    </w:p>
    <w:p w:rsidR="00941A41" w:rsidRDefault="00941A41"/>
    <w:p w:rsidR="00941A41" w:rsidRDefault="00941A41">
      <w:r>
        <w:t>The valuation currently being undertaken is based on the position of the Fund at 31 March 2013.  However, it must also take into account a</w:t>
      </w:r>
      <w:r w:rsidR="00ED25CE">
        <w:t xml:space="preserve"> number of other specific forward</w:t>
      </w:r>
      <w:r>
        <w:t xml:space="preserve"> </w:t>
      </w:r>
      <w:r w:rsidR="005F0D9E">
        <w:t>looking</w:t>
      </w:r>
      <w:r>
        <w:t xml:space="preserve"> factors such as the change in the benefit structure of the Loc</w:t>
      </w:r>
      <w:r w:rsidR="00ED25CE">
        <w:t>al Government Pension Scheme from</w:t>
      </w:r>
      <w:r>
        <w:t xml:space="preserve"> 1 April 2014 which will impact on the rate at which members </w:t>
      </w:r>
      <w:r w:rsidR="00741084">
        <w:t>build up new</w:t>
      </w:r>
      <w:r>
        <w:t xml:space="preserve"> benefits.</w:t>
      </w:r>
    </w:p>
    <w:p w:rsidR="00941A41" w:rsidRDefault="00941A41"/>
    <w:p w:rsidR="00941A41" w:rsidRDefault="00941A41">
      <w:r>
        <w:t>The valuation is also taking place in the context of</w:t>
      </w:r>
    </w:p>
    <w:p w:rsidR="00941A41" w:rsidRDefault="00941A41"/>
    <w:p w:rsidR="00941A41" w:rsidRDefault="00941A41" w:rsidP="00941A41">
      <w:pPr>
        <w:pStyle w:val="ListParagraph"/>
        <w:numPr>
          <w:ilvl w:val="0"/>
          <w:numId w:val="1"/>
        </w:numPr>
        <w:ind w:left="360"/>
      </w:pPr>
      <w:r>
        <w:t>The ongoing reductions</w:t>
      </w:r>
      <w:r w:rsidR="00ED25CE">
        <w:t xml:space="preserve"> in the public sector workforce </w:t>
      </w:r>
      <w:r>
        <w:t xml:space="preserve">particularly in local government which results in </w:t>
      </w:r>
      <w:r w:rsidR="00741084">
        <w:t>fewer active members contributi</w:t>
      </w:r>
      <w:r>
        <w:t>n</w:t>
      </w:r>
      <w:r w:rsidR="00741084">
        <w:t>g</w:t>
      </w:r>
      <w:r>
        <w:t xml:space="preserve"> to the scheme.</w:t>
      </w:r>
    </w:p>
    <w:p w:rsidR="002D7F72" w:rsidRDefault="002D7F72" w:rsidP="002D7F72">
      <w:pPr>
        <w:pStyle w:val="ListParagraph"/>
        <w:ind w:left="360"/>
      </w:pPr>
    </w:p>
    <w:p w:rsidR="002D7F72" w:rsidRDefault="002D7F72" w:rsidP="00941A41">
      <w:pPr>
        <w:pStyle w:val="ListParagraph"/>
        <w:numPr>
          <w:ilvl w:val="0"/>
          <w:numId w:val="1"/>
        </w:numPr>
        <w:ind w:left="360"/>
      </w:pPr>
      <w:r>
        <w:t>The ongoing dislocation of the bond markets which affects the discount rate the actuary uses to value the Fund's liabilities.</w:t>
      </w:r>
    </w:p>
    <w:p w:rsidR="002D7F72" w:rsidRDefault="002D7F72" w:rsidP="002D7F72">
      <w:pPr>
        <w:pStyle w:val="ListParagraph"/>
      </w:pPr>
    </w:p>
    <w:p w:rsidR="002D7F72" w:rsidRDefault="002D7F72" w:rsidP="002D7F72">
      <w:pPr>
        <w:pStyle w:val="ListParagraph"/>
        <w:ind w:left="0"/>
      </w:pPr>
      <w:r>
        <w:t>As previously reported to the March meeting of the Committee all these factors combine to make this probably the most challenging valuation in the history of LGPS.</w:t>
      </w:r>
    </w:p>
    <w:p w:rsidR="002D7F72" w:rsidRDefault="002D7F72" w:rsidP="002D7F72">
      <w:pPr>
        <w:pStyle w:val="ListParagraph"/>
        <w:ind w:left="0"/>
      </w:pPr>
    </w:p>
    <w:p w:rsidR="002D7F72" w:rsidRDefault="002D7F72" w:rsidP="002D7F72">
      <w:pPr>
        <w:pStyle w:val="ListParagraph"/>
        <w:ind w:left="0"/>
      </w:pPr>
      <w:r>
        <w:t>At its March meeting the Committee endorsed a number of propositions to underpin the valuation process, specifically</w:t>
      </w:r>
    </w:p>
    <w:p w:rsidR="002D7F72" w:rsidRDefault="002D7F72" w:rsidP="002D7F72">
      <w:pPr>
        <w:pStyle w:val="ListParagraph"/>
        <w:ind w:left="0"/>
      </w:pPr>
    </w:p>
    <w:p w:rsidR="002D7F72" w:rsidRDefault="002D7F72" w:rsidP="002D7F72">
      <w:pPr>
        <w:pStyle w:val="ListParagraph"/>
        <w:numPr>
          <w:ilvl w:val="0"/>
          <w:numId w:val="2"/>
        </w:numPr>
        <w:ind w:left="360"/>
      </w:pPr>
      <w:r>
        <w:t>The use of a tailored assumption on pay growth in the earlier years of the valuation model to reflect the impact of public sector pay restraint.</w:t>
      </w:r>
    </w:p>
    <w:p w:rsidR="00741084" w:rsidRDefault="00741084" w:rsidP="00741084">
      <w:pPr>
        <w:pStyle w:val="ListParagraph"/>
        <w:ind w:left="360"/>
      </w:pPr>
    </w:p>
    <w:p w:rsidR="00741084" w:rsidRDefault="00741084" w:rsidP="002D7F72">
      <w:pPr>
        <w:pStyle w:val="ListParagraph"/>
        <w:numPr>
          <w:ilvl w:val="0"/>
          <w:numId w:val="2"/>
        </w:numPr>
        <w:ind w:left="360"/>
      </w:pPr>
      <w:r>
        <w:t xml:space="preserve">The development of fund </w:t>
      </w:r>
      <w:r w:rsidR="00ED25CE">
        <w:t>specific assumptions around</w:t>
      </w:r>
      <w:r>
        <w:t xml:space="preserve"> life expectancy.</w:t>
      </w:r>
    </w:p>
    <w:p w:rsidR="002D7F72" w:rsidRDefault="002D7F72" w:rsidP="002D7F72">
      <w:pPr>
        <w:pStyle w:val="ListParagraph"/>
        <w:ind w:left="360"/>
      </w:pPr>
    </w:p>
    <w:p w:rsidR="002D7F72" w:rsidRDefault="002D7F72" w:rsidP="002D7F72">
      <w:pPr>
        <w:pStyle w:val="ListParagraph"/>
        <w:numPr>
          <w:ilvl w:val="0"/>
          <w:numId w:val="2"/>
        </w:numPr>
        <w:ind w:left="360"/>
      </w:pPr>
      <w:r>
        <w:t xml:space="preserve">The </w:t>
      </w:r>
      <w:r w:rsidR="00ED25CE">
        <w:t>use, where appropriate of assumptions around</w:t>
      </w:r>
      <w:r>
        <w:t xml:space="preserve"> the normalisation of bond yields to replace previous assumpti</w:t>
      </w:r>
      <w:r w:rsidR="00ED25CE">
        <w:t xml:space="preserve">ons of Increased Inestment </w:t>
      </w:r>
      <w:r>
        <w:t>Return.</w:t>
      </w:r>
    </w:p>
    <w:p w:rsidR="002D7F72" w:rsidRDefault="002D7F72" w:rsidP="002D7F72">
      <w:pPr>
        <w:pStyle w:val="ListParagraph"/>
      </w:pPr>
    </w:p>
    <w:p w:rsidR="002D7F72" w:rsidRDefault="002D7F72" w:rsidP="002D7F72">
      <w:pPr>
        <w:pStyle w:val="ListParagraph"/>
        <w:numPr>
          <w:ilvl w:val="0"/>
          <w:numId w:val="2"/>
        </w:numPr>
        <w:ind w:left="360"/>
      </w:pPr>
      <w:r>
        <w:t>The conversion of deficit recovery contribution</w:t>
      </w:r>
      <w:r w:rsidR="00E1397A">
        <w:t>s to fixed cash amounts rather than a percentage of payroll.</w:t>
      </w:r>
    </w:p>
    <w:p w:rsidR="00E1397A" w:rsidRDefault="00E1397A" w:rsidP="00E1397A">
      <w:pPr>
        <w:pStyle w:val="ListParagraph"/>
      </w:pPr>
    </w:p>
    <w:p w:rsidR="00E1397A" w:rsidRDefault="00E1397A" w:rsidP="002D7F72">
      <w:pPr>
        <w:pStyle w:val="ListParagraph"/>
        <w:numPr>
          <w:ilvl w:val="0"/>
          <w:numId w:val="2"/>
        </w:numPr>
        <w:ind w:left="360"/>
      </w:pPr>
      <w:r>
        <w:t xml:space="preserve">Changes in the way in which the pension </w:t>
      </w:r>
      <w:r w:rsidR="00FC7069">
        <w:t>strain</w:t>
      </w:r>
      <w:r w:rsidR="008D52C8">
        <w:t xml:space="preserve"> </w:t>
      </w:r>
      <w:r w:rsidR="00ED25CE">
        <w:t xml:space="preserve">that </w:t>
      </w:r>
      <w:r w:rsidR="008D52C8">
        <w:t>results fr</w:t>
      </w:r>
      <w:r w:rsidR="00ED25CE">
        <w:t>om</w:t>
      </w:r>
      <w:r w:rsidR="008D52C8">
        <w:t xml:space="preserve"> early retirements</w:t>
      </w:r>
      <w:r w:rsidR="00ED25CE">
        <w:t xml:space="preserve"> is</w:t>
      </w:r>
      <w:r>
        <w:t xml:space="preserve"> dealt with.</w:t>
      </w:r>
    </w:p>
    <w:p w:rsidR="00E1397A" w:rsidRDefault="00E1397A" w:rsidP="00E1397A">
      <w:pPr>
        <w:pStyle w:val="ListParagraph"/>
      </w:pPr>
    </w:p>
    <w:p w:rsidR="00E1397A" w:rsidRDefault="00FC7069" w:rsidP="002D7F72">
      <w:pPr>
        <w:pStyle w:val="ListParagraph"/>
        <w:numPr>
          <w:ilvl w:val="0"/>
          <w:numId w:val="2"/>
        </w:numPr>
        <w:ind w:left="360"/>
      </w:pPr>
      <w:r>
        <w:t>An initial intention to br</w:t>
      </w:r>
      <w:r w:rsidR="00DD74B4">
        <w:t>i</w:t>
      </w:r>
      <w:r>
        <w:t xml:space="preserve">ng the deficit recovery period down </w:t>
      </w:r>
      <w:r w:rsidR="00DD74B4">
        <w:t>to 16 years (see below).</w:t>
      </w:r>
    </w:p>
    <w:p w:rsidR="00DD74B4" w:rsidRDefault="00DD74B4" w:rsidP="00DD74B4">
      <w:pPr>
        <w:pStyle w:val="ListParagraph"/>
      </w:pPr>
    </w:p>
    <w:p w:rsidR="00DD74B4" w:rsidRDefault="00DD74B4" w:rsidP="00DD74B4">
      <w:pPr>
        <w:pStyle w:val="ListParagraph"/>
        <w:ind w:left="0"/>
        <w:rPr>
          <w:b/>
        </w:rPr>
      </w:pPr>
      <w:r>
        <w:rPr>
          <w:b/>
        </w:rPr>
        <w:t>Valuation Results</w:t>
      </w:r>
    </w:p>
    <w:p w:rsidR="00DD74B4" w:rsidRDefault="00DD74B4" w:rsidP="00DD74B4">
      <w:pPr>
        <w:pStyle w:val="ListParagraph"/>
        <w:ind w:left="0"/>
        <w:rPr>
          <w:b/>
        </w:rPr>
      </w:pPr>
    </w:p>
    <w:p w:rsidR="00DD74B4" w:rsidRDefault="00DD74B4" w:rsidP="00DD74B4">
      <w:pPr>
        <w:pStyle w:val="ListParagraph"/>
        <w:ind w:left="0"/>
      </w:pPr>
      <w:r>
        <w:t>The Fund's Actuary will present the results for the whole fund to the Committee.  It should be emphasised that at this valuation there are significant differences between the results f</w:t>
      </w:r>
      <w:r w:rsidR="00ED25CE">
        <w:t>or</w:t>
      </w:r>
      <w:r>
        <w:t xml:space="preserve"> </w:t>
      </w:r>
      <w:r w:rsidR="00EE4314">
        <w:t xml:space="preserve">different </w:t>
      </w:r>
      <w:r>
        <w:t>employers and these differences are much greater than has been seen previously.</w:t>
      </w:r>
    </w:p>
    <w:p w:rsidR="00DD74B4" w:rsidRDefault="00DD74B4" w:rsidP="00DD74B4">
      <w:pPr>
        <w:pStyle w:val="ListParagraph"/>
        <w:ind w:left="0"/>
      </w:pPr>
    </w:p>
    <w:p w:rsidR="00EE4314" w:rsidRDefault="00DD74B4" w:rsidP="00DD74B4">
      <w:pPr>
        <w:pStyle w:val="ListParagraph"/>
        <w:ind w:left="0"/>
      </w:pPr>
      <w:r>
        <w:t>At</w:t>
      </w:r>
      <w:r w:rsidR="00ED25CE">
        <w:t xml:space="preserve"> headline</w:t>
      </w:r>
      <w:r w:rsidR="00DB04D0">
        <w:t xml:space="preserve"> whole fund level the overall funding level based on the various updated assumptions is </w:t>
      </w:r>
      <w:r w:rsidR="00ED25CE">
        <w:t>around 78</w:t>
      </w:r>
      <w:r w:rsidR="00DB04D0">
        <w:t xml:space="preserve">% </w:t>
      </w:r>
      <w:r w:rsidR="00EE4314">
        <w:t>as at the 31 March 2013</w:t>
      </w:r>
      <w:r w:rsidR="00354340">
        <w:t>, compared to 80% at March 2010</w:t>
      </w:r>
      <w:r w:rsidR="00EE4314">
        <w:t>. T</w:t>
      </w:r>
      <w:r w:rsidR="00DB04D0">
        <w:t>his differs f</w:t>
      </w:r>
      <w:r w:rsidR="00EE4314">
        <w:t>rom</w:t>
      </w:r>
      <w:r w:rsidR="00DB04D0">
        <w:t xml:space="preserve"> the figures in the regular performance reports because of the revised assumptions.  Given the signi</w:t>
      </w:r>
      <w:r w:rsidR="00ED25CE">
        <w:t>ficant negative movement</w:t>
      </w:r>
      <w:r w:rsidR="00DB04D0">
        <w:t xml:space="preserve">s in </w:t>
      </w:r>
      <w:r w:rsidR="00EE4314">
        <w:t xml:space="preserve">key elements </w:t>
      </w:r>
      <w:r w:rsidR="00DB04D0">
        <w:t>such as the discount rate this should be seen as a positive result</w:t>
      </w:r>
      <w:r w:rsidR="00EE4314">
        <w:t xml:space="preserve"> for the Fund</w:t>
      </w:r>
      <w:r w:rsidR="00DB04D0">
        <w:t xml:space="preserve">.  </w:t>
      </w:r>
    </w:p>
    <w:p w:rsidR="00EE4314" w:rsidRDefault="00EE4314" w:rsidP="00DD74B4">
      <w:pPr>
        <w:pStyle w:val="ListParagraph"/>
        <w:ind w:left="0"/>
      </w:pPr>
    </w:p>
    <w:p w:rsidR="00EE4314" w:rsidRDefault="00EE4314" w:rsidP="00DD74B4">
      <w:pPr>
        <w:pStyle w:val="ListParagraph"/>
        <w:ind w:left="0"/>
      </w:pPr>
      <w:r>
        <w:t xml:space="preserve">The overall deficit on the Fund has increased from £0.993bn to £1.590bn. </w:t>
      </w:r>
    </w:p>
    <w:p w:rsidR="00DD74B4" w:rsidRDefault="00DB04D0" w:rsidP="00DD74B4">
      <w:pPr>
        <w:pStyle w:val="ListParagraph"/>
        <w:ind w:left="0"/>
      </w:pPr>
      <w:r>
        <w:t>As illustrated</w:t>
      </w:r>
      <w:r w:rsidR="00ED25CE">
        <w:t xml:space="preserve"> on the graph below the movement in </w:t>
      </w:r>
      <w:r>
        <w:t xml:space="preserve">the </w:t>
      </w:r>
      <w:r w:rsidR="00354340">
        <w:t xml:space="preserve">cash value of the </w:t>
      </w:r>
      <w:r w:rsidR="00ED25CE">
        <w:t>deficit has been due to tho</w:t>
      </w:r>
      <w:r>
        <w:t xml:space="preserve">se factors which cannot be influenced by </w:t>
      </w:r>
      <w:r w:rsidR="00EE4314">
        <w:t xml:space="preserve">either </w:t>
      </w:r>
      <w:r>
        <w:t>the Fund or employers</w:t>
      </w:r>
      <w:r w:rsidR="00EE4314">
        <w:t>. T</w:t>
      </w:r>
      <w:r>
        <w:t>hose factors which can be influenced have moved favourably.</w:t>
      </w:r>
    </w:p>
    <w:p w:rsidR="00DA30C3" w:rsidRDefault="00DA30C3" w:rsidP="00DD74B4">
      <w:pPr>
        <w:pStyle w:val="ListParagraph"/>
        <w:ind w:left="0"/>
      </w:pPr>
    </w:p>
    <w:p w:rsidR="00DB04D0" w:rsidRDefault="00354340" w:rsidP="00DD74B4">
      <w:pPr>
        <w:pStyle w:val="ListParagraph"/>
        <w:ind w:left="0"/>
      </w:pPr>
      <w:r w:rsidRPr="00354340">
        <w:rPr>
          <w:noProof/>
          <w:lang w:eastAsia="en-GB"/>
        </w:rPr>
        <w:drawing>
          <wp:inline distT="0" distB="0" distL="0" distR="0">
            <wp:extent cx="5616575" cy="3665775"/>
            <wp:effectExtent l="19050" t="0" r="222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04D0" w:rsidRDefault="00DB04D0"/>
    <w:p w:rsidR="00DB04D0" w:rsidRDefault="00DB04D0"/>
    <w:p w:rsidR="00A1340B" w:rsidRDefault="00A1340B" w:rsidP="00DD74B4">
      <w:pPr>
        <w:pStyle w:val="ListParagraph"/>
        <w:ind w:left="0"/>
      </w:pPr>
    </w:p>
    <w:p w:rsidR="00DB04D0" w:rsidRDefault="00DB04D0" w:rsidP="00DD74B4">
      <w:pPr>
        <w:pStyle w:val="ListParagraph"/>
        <w:ind w:left="0"/>
      </w:pPr>
      <w:r>
        <w:lastRenderedPageBreak/>
        <w:t xml:space="preserve">These results clearly present a challenging position </w:t>
      </w:r>
      <w:r w:rsidR="00BE6101">
        <w:t xml:space="preserve">in terms of achieving the </w:t>
      </w:r>
      <w:r w:rsidR="00EE4314">
        <w:t xml:space="preserve">Fund's </w:t>
      </w:r>
      <w:r w:rsidR="00BE6101">
        <w:t>objectives of stable a</w:t>
      </w:r>
      <w:r w:rsidR="00ED25CE">
        <w:t>nd affordable levels of employer</w:t>
      </w:r>
      <w:r w:rsidR="00BE6101">
        <w:t xml:space="preserve"> contributions.</w:t>
      </w:r>
    </w:p>
    <w:p w:rsidR="00BE6101" w:rsidRDefault="00BE6101" w:rsidP="00DD74B4">
      <w:pPr>
        <w:pStyle w:val="ListParagraph"/>
        <w:ind w:left="0"/>
      </w:pPr>
    </w:p>
    <w:p w:rsidR="00BE6101" w:rsidRDefault="00BE6101" w:rsidP="00DD74B4">
      <w:pPr>
        <w:pStyle w:val="ListParagraph"/>
        <w:ind w:left="0"/>
        <w:rPr>
          <w:b/>
        </w:rPr>
      </w:pPr>
      <w:r>
        <w:rPr>
          <w:b/>
        </w:rPr>
        <w:t>Achieving a Sustainable Contribution Plan</w:t>
      </w:r>
    </w:p>
    <w:p w:rsidR="00BE6101" w:rsidRDefault="00BE6101" w:rsidP="00DD74B4">
      <w:pPr>
        <w:pStyle w:val="ListParagraph"/>
        <w:ind w:left="0"/>
        <w:rPr>
          <w:b/>
        </w:rPr>
      </w:pPr>
    </w:p>
    <w:p w:rsidR="00BE6101" w:rsidRDefault="00BE6101" w:rsidP="00DD74B4">
      <w:pPr>
        <w:pStyle w:val="ListParagraph"/>
        <w:ind w:left="0"/>
      </w:pPr>
      <w:r>
        <w:t>The key objective for the Fund is dealing with the valuation results must</w:t>
      </w:r>
      <w:r w:rsidR="00656693">
        <w:t xml:space="preserve"> be to achieve a sustainable contribution plan which, all other things being equal, will make inroads in to the current deficit and create a situation where future</w:t>
      </w:r>
      <w:r w:rsidR="00ED25CE">
        <w:t xml:space="preserve"> service </w:t>
      </w:r>
      <w:r w:rsidR="00656693">
        <w:t>contributions are broadly matching liabilities as they build up.  Given the considerable level of uncertaint</w:t>
      </w:r>
      <w:r w:rsidR="00ED25CE">
        <w:t>y both in terms of future movements in</w:t>
      </w:r>
      <w:r w:rsidR="00656693">
        <w:t xml:space="preserve"> the financial markets and the real impact o</w:t>
      </w:r>
      <w:r w:rsidR="0040083E">
        <w:t>f</w:t>
      </w:r>
      <w:r w:rsidR="00656693">
        <w:t xml:space="preserve"> change</w:t>
      </w:r>
      <w:r w:rsidR="00ED25CE">
        <w:t>s</w:t>
      </w:r>
      <w:r w:rsidR="00656693">
        <w:t xml:space="preserve"> in </w:t>
      </w:r>
      <w:r w:rsidR="00C351BB">
        <w:t xml:space="preserve">the LGPS </w:t>
      </w:r>
      <w:r w:rsidR="00656693">
        <w:t>scheme design this presents a very significant challenge.</w:t>
      </w:r>
    </w:p>
    <w:p w:rsidR="00656693" w:rsidRDefault="00656693" w:rsidP="00DD74B4">
      <w:pPr>
        <w:pStyle w:val="ListParagraph"/>
        <w:ind w:left="0"/>
      </w:pPr>
    </w:p>
    <w:p w:rsidR="00656693" w:rsidRDefault="00656693" w:rsidP="00DD74B4">
      <w:pPr>
        <w:pStyle w:val="ListParagraph"/>
        <w:ind w:left="0"/>
      </w:pPr>
      <w:r>
        <w:t>To deal with this challenge it is proposed to reflect the following within the valuation as applied to individual employer contributions.</w:t>
      </w:r>
    </w:p>
    <w:p w:rsidR="00656693" w:rsidRDefault="00656693" w:rsidP="00DD74B4">
      <w:pPr>
        <w:pStyle w:val="ListParagraph"/>
        <w:ind w:left="0"/>
      </w:pPr>
    </w:p>
    <w:p w:rsidR="00656693" w:rsidRDefault="00656693" w:rsidP="00656693">
      <w:pPr>
        <w:pStyle w:val="ListParagraph"/>
        <w:numPr>
          <w:ilvl w:val="0"/>
          <w:numId w:val="3"/>
        </w:numPr>
        <w:ind w:left="360"/>
      </w:pPr>
      <w:r>
        <w:t xml:space="preserve">A deficit recovery period of 19 years (unchanged </w:t>
      </w:r>
      <w:r w:rsidR="00C351BB">
        <w:t>from</w:t>
      </w:r>
      <w:r>
        <w:t xml:space="preserve"> the 2010 valuation).  This reflects the relative stability of the funding level and while a case might be made for extending the period further</w:t>
      </w:r>
      <w:r w:rsidR="00354340">
        <w:t xml:space="preserve">, for some employers, </w:t>
      </w:r>
      <w:r>
        <w:t xml:space="preserve">it is felt by </w:t>
      </w:r>
      <w:r w:rsidR="00ED25CE">
        <w:t xml:space="preserve">fund </w:t>
      </w:r>
      <w:r>
        <w:t>officers</w:t>
      </w:r>
      <w:r w:rsidR="0040083E">
        <w:t xml:space="preserve"> and</w:t>
      </w:r>
      <w:r w:rsidR="005A2ED7">
        <w:t xml:space="preserve"> the actuary </w:t>
      </w:r>
      <w:r w:rsidR="005F0D9E">
        <w:t xml:space="preserve">that to do so could be seen as </w:t>
      </w:r>
      <w:r w:rsidR="00ED25CE">
        <w:t xml:space="preserve">imprudent </w:t>
      </w:r>
      <w:r w:rsidR="005A2ED7">
        <w:t>particularly give</w:t>
      </w:r>
      <w:r w:rsidR="0040083E">
        <w:t>n</w:t>
      </w:r>
      <w:r w:rsidR="005A2ED7">
        <w:t xml:space="preserve"> the likely impact on funding levels of</w:t>
      </w:r>
      <w:r w:rsidR="00ED25CE">
        <w:t xml:space="preserve"> further reductions in employer</w:t>
      </w:r>
      <w:r w:rsidR="005A2ED7">
        <w:t>s</w:t>
      </w:r>
      <w:r w:rsidR="00ED25CE">
        <w:t>'</w:t>
      </w:r>
      <w:r w:rsidR="005A2ED7">
        <w:t xml:space="preserve"> staffing levels.</w:t>
      </w:r>
    </w:p>
    <w:p w:rsidR="005A2ED7" w:rsidRDefault="005A2ED7" w:rsidP="005A2ED7">
      <w:pPr>
        <w:pStyle w:val="ListParagraph"/>
        <w:ind w:left="360"/>
      </w:pPr>
    </w:p>
    <w:p w:rsidR="005A2ED7" w:rsidRDefault="005A2ED7" w:rsidP="00656693">
      <w:pPr>
        <w:pStyle w:val="ListParagraph"/>
        <w:numPr>
          <w:ilvl w:val="0"/>
          <w:numId w:val="3"/>
        </w:numPr>
        <w:ind w:left="360"/>
      </w:pPr>
      <w:r>
        <w:t>An assumption of 10% take up of the 50/50 option with</w:t>
      </w:r>
      <w:r w:rsidR="00ED25CE">
        <w:t>in</w:t>
      </w:r>
      <w:r>
        <w:t xml:space="preserve"> the new scheme design in line with the assu</w:t>
      </w:r>
      <w:r w:rsidR="00ED25CE">
        <w:t>mptions made by the Government Actuary.  If</w:t>
      </w:r>
      <w:r>
        <w:t xml:space="preserve"> reality is </w:t>
      </w:r>
      <w:r w:rsidR="00ED25CE">
        <w:t xml:space="preserve">that </w:t>
      </w:r>
      <w:r>
        <w:t xml:space="preserve">fewer than 10% of </w:t>
      </w:r>
      <w:r w:rsidR="00ED25CE">
        <w:t>members</w:t>
      </w:r>
      <w:r>
        <w:t xml:space="preserve"> take up this option employers </w:t>
      </w:r>
      <w:r w:rsidR="00447FD0">
        <w:t xml:space="preserve">will be underpaying future </w:t>
      </w:r>
      <w:r w:rsidR="00ED25CE">
        <w:t>service</w:t>
      </w:r>
      <w:r w:rsidR="00DB1750">
        <w:t xml:space="preserve"> contributions.  Equally if more than 10% take up the option they will effect be making additional deficit contributions.</w:t>
      </w:r>
    </w:p>
    <w:p w:rsidR="00DB1750" w:rsidRDefault="00DB1750" w:rsidP="00DB1750">
      <w:pPr>
        <w:pStyle w:val="ListParagraph"/>
      </w:pPr>
    </w:p>
    <w:p w:rsidR="00DB1750" w:rsidRDefault="00DB1750" w:rsidP="00656693">
      <w:pPr>
        <w:pStyle w:val="ListParagraph"/>
        <w:numPr>
          <w:ilvl w:val="0"/>
          <w:numId w:val="3"/>
        </w:numPr>
        <w:ind w:left="360"/>
      </w:pPr>
      <w:r>
        <w:t>Allowing for some of</w:t>
      </w:r>
      <w:r w:rsidR="00ED25CE">
        <w:t xml:space="preserve"> the impact of movements in bond</w:t>
      </w:r>
      <w:r>
        <w:t xml:space="preserve"> yields between April 2013 and August 2013</w:t>
      </w:r>
      <w:r w:rsidR="00354340">
        <w:t>, in setting contributions.</w:t>
      </w:r>
    </w:p>
    <w:p w:rsidR="00DB1750" w:rsidRDefault="00DB1750" w:rsidP="00DB1750">
      <w:pPr>
        <w:pStyle w:val="ListParagraph"/>
      </w:pPr>
    </w:p>
    <w:p w:rsidR="00DB1750" w:rsidRDefault="00DB1750" w:rsidP="00656693">
      <w:pPr>
        <w:pStyle w:val="ListParagraph"/>
        <w:numPr>
          <w:ilvl w:val="0"/>
          <w:numId w:val="3"/>
        </w:numPr>
        <w:ind w:left="360"/>
      </w:pPr>
      <w:r>
        <w:t>Where relevant adjusti</w:t>
      </w:r>
      <w:r w:rsidR="005F0D9E">
        <w:t xml:space="preserve">ng the period over which it is </w:t>
      </w:r>
      <w:r w:rsidR="00C351BB">
        <w:t xml:space="preserve">assumed </w:t>
      </w:r>
      <w:r w:rsidR="00ED25CE">
        <w:t>bond</w:t>
      </w:r>
      <w:r>
        <w:t xml:space="preserve"> yields will revert to the </w:t>
      </w:r>
      <w:r w:rsidR="00ED25CE">
        <w:t xml:space="preserve">mean </w:t>
      </w:r>
      <w:r w:rsidR="00C351BB">
        <w:t xml:space="preserve">(i.e. back to "normal") </w:t>
      </w:r>
      <w:r w:rsidR="00ED25CE">
        <w:t>from</w:t>
      </w:r>
      <w:r>
        <w:t xml:space="preserve"> 10 years to 5 years.</w:t>
      </w:r>
    </w:p>
    <w:p w:rsidR="00DB1750" w:rsidRDefault="00DB1750" w:rsidP="00DB1750">
      <w:pPr>
        <w:pStyle w:val="ListParagraph"/>
      </w:pPr>
    </w:p>
    <w:p w:rsidR="00DB1750" w:rsidRDefault="00DB1750" w:rsidP="00656693">
      <w:pPr>
        <w:pStyle w:val="ListParagraph"/>
        <w:numPr>
          <w:ilvl w:val="0"/>
          <w:numId w:val="3"/>
        </w:numPr>
        <w:ind w:left="360"/>
      </w:pPr>
      <w:r>
        <w:t>Ensurin</w:t>
      </w:r>
      <w:r w:rsidR="00A1340B">
        <w:t xml:space="preserve">g the new Future Service Contribution </w:t>
      </w:r>
      <w:r w:rsidR="00060AEC">
        <w:t>rates are paid in full f</w:t>
      </w:r>
      <w:r>
        <w:t>r</w:t>
      </w:r>
      <w:r w:rsidR="00060AEC">
        <w:t>om</w:t>
      </w:r>
      <w:r>
        <w:t xml:space="preserve"> 1 April 2014.  All other things being equal this means that contributions and new liabilities should build up in line with each other avoiding the deficit increasing.</w:t>
      </w:r>
    </w:p>
    <w:p w:rsidR="00DB1750" w:rsidRDefault="00DB1750" w:rsidP="00DB1750">
      <w:pPr>
        <w:pStyle w:val="ListParagraph"/>
      </w:pPr>
    </w:p>
    <w:p w:rsidR="00DB1750" w:rsidRDefault="00DB1750" w:rsidP="00656693">
      <w:pPr>
        <w:pStyle w:val="ListParagraph"/>
        <w:numPr>
          <w:ilvl w:val="0"/>
          <w:numId w:val="3"/>
        </w:numPr>
        <w:ind w:left="360"/>
      </w:pPr>
      <w:r>
        <w:t>Allowing phasing of the increase in deficit contributions over the three years of the valuation period, but within th</w:t>
      </w:r>
      <w:r w:rsidR="00354340">
        <w:t>is</w:t>
      </w:r>
      <w:r>
        <w:t xml:space="preserve"> requiring that the inflationary increase is paid each yea</w:t>
      </w:r>
      <w:r w:rsidR="00060AEC">
        <w:t>r and the phasing results</w:t>
      </w:r>
      <w:r>
        <w:t xml:space="preserve"> in the full payment by year 3.  Because</w:t>
      </w:r>
      <w:r w:rsidR="007C686E">
        <w:t xml:space="preserve"> deficit contributions are now to be expressed as cash this means employers and the Fund will have transparency over the degree</w:t>
      </w:r>
      <w:r w:rsidR="00060AEC">
        <w:t xml:space="preserve"> to which phasing results in</w:t>
      </w:r>
      <w:r w:rsidR="007C686E">
        <w:t xml:space="preserve"> underpayment towards the deficit (in effect an increase in the </w:t>
      </w:r>
      <w:r w:rsidR="005073A7">
        <w:t xml:space="preserve">deficit recovery period).  This gives employers a much clearer option </w:t>
      </w:r>
      <w:r w:rsidR="005F0D9E">
        <w:t xml:space="preserve">around </w:t>
      </w:r>
      <w:r w:rsidR="005073A7">
        <w:t>making additional payments against their deficit.</w:t>
      </w:r>
    </w:p>
    <w:p w:rsidR="00354340" w:rsidRDefault="00354340"/>
    <w:p w:rsidR="005073A7" w:rsidRDefault="005073A7" w:rsidP="00656693">
      <w:pPr>
        <w:pStyle w:val="ListParagraph"/>
        <w:numPr>
          <w:ilvl w:val="0"/>
          <w:numId w:val="3"/>
        </w:numPr>
        <w:ind w:left="360"/>
      </w:pPr>
      <w:r>
        <w:t>Not allowing any employe</w:t>
      </w:r>
      <w:r w:rsidR="00C351BB">
        <w:t>r</w:t>
      </w:r>
      <w:r>
        <w:t xml:space="preserve"> to reduce the cash level of contributions between valuations.  This allows the </w:t>
      </w:r>
      <w:r w:rsidR="00060AEC">
        <w:t xml:space="preserve">small number </w:t>
      </w:r>
      <w:r>
        <w:t>of employe</w:t>
      </w:r>
      <w:r w:rsidR="00060AEC">
        <w:t>r</w:t>
      </w:r>
      <w:r>
        <w:t xml:space="preserve">s in this position to make </w:t>
      </w:r>
      <w:r>
        <w:lastRenderedPageBreak/>
        <w:t>greater progress in reducing their deficit which is in the interests of both the Fund overall and the individual employe</w:t>
      </w:r>
      <w:r w:rsidR="00060AEC">
        <w:t>r</w:t>
      </w:r>
      <w:r>
        <w:t>s.</w:t>
      </w:r>
    </w:p>
    <w:p w:rsidR="005073A7" w:rsidRDefault="005073A7" w:rsidP="005073A7">
      <w:pPr>
        <w:pStyle w:val="ListParagraph"/>
      </w:pPr>
    </w:p>
    <w:p w:rsidR="005073A7" w:rsidRDefault="005073A7" w:rsidP="005073A7">
      <w:pPr>
        <w:pStyle w:val="ListParagraph"/>
        <w:ind w:left="0"/>
      </w:pPr>
      <w:r>
        <w:t xml:space="preserve">Taken together </w:t>
      </w:r>
      <w:r w:rsidR="0040083E">
        <w:t>with the steps agreed in March</w:t>
      </w:r>
      <w:r>
        <w:t xml:space="preserve"> </w:t>
      </w:r>
      <w:r w:rsidR="00C351BB">
        <w:t xml:space="preserve">these measures </w:t>
      </w:r>
      <w:r>
        <w:t>provide the best balance possible between the i</w:t>
      </w:r>
      <w:r w:rsidR="0040083E">
        <w:t>nterests of employer</w:t>
      </w:r>
      <w:r>
        <w:t>s in terms of affordability and th</w:t>
      </w:r>
      <w:r w:rsidR="00060AEC">
        <w:t>o</w:t>
      </w:r>
      <w:r>
        <w:t>se of the Fund in terms of being able to meet its overall liabilities as they fall due.</w:t>
      </w:r>
    </w:p>
    <w:p w:rsidR="005073A7" w:rsidRDefault="005073A7" w:rsidP="005073A7">
      <w:pPr>
        <w:pStyle w:val="ListParagraph"/>
        <w:ind w:left="0"/>
      </w:pPr>
    </w:p>
    <w:p w:rsidR="005073A7" w:rsidRDefault="00775E0A" w:rsidP="005073A7">
      <w:pPr>
        <w:pStyle w:val="ListParagraph"/>
        <w:ind w:left="0"/>
        <w:rPr>
          <w:b/>
        </w:rPr>
      </w:pPr>
      <w:r>
        <w:rPr>
          <w:b/>
        </w:rPr>
        <w:t>Schools and Acade</w:t>
      </w:r>
      <w:r w:rsidR="005073A7">
        <w:rPr>
          <w:b/>
        </w:rPr>
        <w:t>mies</w:t>
      </w:r>
    </w:p>
    <w:p w:rsidR="005073A7" w:rsidRDefault="005073A7" w:rsidP="005073A7">
      <w:pPr>
        <w:pStyle w:val="ListParagraph"/>
        <w:ind w:left="0"/>
        <w:rPr>
          <w:b/>
        </w:rPr>
      </w:pPr>
    </w:p>
    <w:p w:rsidR="005073A7" w:rsidRDefault="005073A7" w:rsidP="005073A7">
      <w:pPr>
        <w:pStyle w:val="ListParagraph"/>
        <w:ind w:left="0"/>
      </w:pPr>
      <w:r>
        <w:t xml:space="preserve">The increasing </w:t>
      </w:r>
      <w:r w:rsidR="00775E0A">
        <w:t>number of acade</w:t>
      </w:r>
      <w:r w:rsidR="00177A8D">
        <w:t>mies and free schools p</w:t>
      </w:r>
      <w:r w:rsidR="00060AEC">
        <w:t>resents specific issues at this</w:t>
      </w:r>
      <w:r w:rsidR="00177A8D">
        <w:t xml:space="preserve"> val</w:t>
      </w:r>
      <w:r w:rsidR="00060AEC">
        <w:t>uation</w:t>
      </w:r>
      <w:r w:rsidR="0040083E">
        <w:t xml:space="preserve"> as does the move to a c</w:t>
      </w:r>
      <w:r w:rsidR="00177A8D">
        <w:t>ash value for deficit contributions in relation to maintained schools.</w:t>
      </w:r>
    </w:p>
    <w:p w:rsidR="00177A8D" w:rsidRDefault="00177A8D" w:rsidP="005073A7">
      <w:pPr>
        <w:pStyle w:val="ListParagraph"/>
        <w:ind w:left="0"/>
      </w:pPr>
    </w:p>
    <w:p w:rsidR="00177A8D" w:rsidRDefault="00775E0A" w:rsidP="005073A7">
      <w:pPr>
        <w:pStyle w:val="ListParagraph"/>
        <w:ind w:left="0"/>
      </w:pPr>
      <w:r>
        <w:t>In relation to Acade</w:t>
      </w:r>
      <w:r w:rsidR="00177A8D">
        <w:t>mies</w:t>
      </w:r>
      <w:r w:rsidR="00C028EB">
        <w:t>,</w:t>
      </w:r>
      <w:r w:rsidR="00177A8D">
        <w:t xml:space="preserve"> </w:t>
      </w:r>
      <w:r w:rsidR="00C028EB">
        <w:t xml:space="preserve">the Department for </w:t>
      </w:r>
      <w:r w:rsidR="00177A8D">
        <w:t>C</w:t>
      </w:r>
      <w:r w:rsidR="00C028EB">
        <w:t xml:space="preserve">ommunities and </w:t>
      </w:r>
      <w:r w:rsidR="00177A8D">
        <w:t>L</w:t>
      </w:r>
      <w:r w:rsidR="00C028EB">
        <w:t xml:space="preserve">ocal </w:t>
      </w:r>
      <w:r w:rsidR="00177A8D">
        <w:t>G</w:t>
      </w:r>
      <w:r w:rsidR="00C028EB">
        <w:t>overnment</w:t>
      </w:r>
      <w:r w:rsidR="00177A8D">
        <w:t xml:space="preserve"> and the De</w:t>
      </w:r>
      <w:r>
        <w:t>partment for Education have:</w:t>
      </w:r>
    </w:p>
    <w:p w:rsidR="00775E0A" w:rsidRDefault="00775E0A" w:rsidP="005073A7">
      <w:pPr>
        <w:pStyle w:val="ListParagraph"/>
        <w:ind w:left="0"/>
      </w:pPr>
    </w:p>
    <w:p w:rsidR="00775E0A" w:rsidRDefault="00775E0A" w:rsidP="00775E0A">
      <w:pPr>
        <w:pStyle w:val="ListParagraph"/>
        <w:numPr>
          <w:ilvl w:val="0"/>
          <w:numId w:val="4"/>
        </w:numPr>
        <w:ind w:left="360"/>
      </w:pPr>
      <w:r>
        <w:t xml:space="preserve">Provided a form of guarantee intended to </w:t>
      </w:r>
      <w:r w:rsidR="00060AEC">
        <w:t>offset the risk to Pension Funds f</w:t>
      </w:r>
      <w:r>
        <w:t>r</w:t>
      </w:r>
      <w:r w:rsidR="00060AEC">
        <w:t>om</w:t>
      </w:r>
      <w:r>
        <w:t xml:space="preserve"> the fact that academies only have a seven year funding agreement.  While in many ways this guarantee is deficient the Government's intention is clearly that academies should be treated in terms of covenant in the same way as maintained schools.</w:t>
      </w:r>
    </w:p>
    <w:p w:rsidR="00775E0A" w:rsidRDefault="00775E0A" w:rsidP="00775E0A">
      <w:pPr>
        <w:pStyle w:val="ListParagraph"/>
        <w:ind w:left="360"/>
      </w:pPr>
    </w:p>
    <w:p w:rsidR="00775E0A" w:rsidRDefault="00775E0A" w:rsidP="00775E0A">
      <w:pPr>
        <w:pStyle w:val="ListParagraph"/>
        <w:numPr>
          <w:ilvl w:val="0"/>
          <w:numId w:val="4"/>
        </w:numPr>
        <w:ind w:left="360"/>
      </w:pPr>
      <w:r>
        <w:t>Consulted on "pooling" arrangements for academies.  In practice this would mean that each Academy while ret</w:t>
      </w:r>
      <w:r w:rsidR="00060AEC">
        <w:t>ain</w:t>
      </w:r>
      <w:r>
        <w:t>ing its own s</w:t>
      </w:r>
      <w:r w:rsidR="00060AEC">
        <w:t>hare</w:t>
      </w:r>
      <w:r>
        <w:t xml:space="preserve"> of the deficit will have the same Future Service Contribution rate.</w:t>
      </w:r>
    </w:p>
    <w:p w:rsidR="00775E0A" w:rsidRDefault="00775E0A" w:rsidP="00775E0A">
      <w:pPr>
        <w:pStyle w:val="ListParagraph"/>
      </w:pPr>
    </w:p>
    <w:p w:rsidR="00775E0A" w:rsidRDefault="00775E0A" w:rsidP="00775E0A">
      <w:pPr>
        <w:pStyle w:val="ListParagraph"/>
        <w:ind w:left="0"/>
      </w:pPr>
      <w:r>
        <w:t xml:space="preserve">In relation to these </w:t>
      </w:r>
      <w:r w:rsidR="00045BD5">
        <w:t>issues it is proposed:</w:t>
      </w:r>
    </w:p>
    <w:p w:rsidR="00045BD5" w:rsidRDefault="00045BD5" w:rsidP="00775E0A">
      <w:pPr>
        <w:pStyle w:val="ListParagraph"/>
        <w:ind w:left="0"/>
      </w:pPr>
    </w:p>
    <w:p w:rsidR="00045BD5" w:rsidRDefault="00045BD5" w:rsidP="00045BD5">
      <w:pPr>
        <w:pStyle w:val="ListParagraph"/>
        <w:numPr>
          <w:ilvl w:val="0"/>
          <w:numId w:val="5"/>
        </w:numPr>
        <w:ind w:left="360"/>
      </w:pPr>
      <w:r>
        <w:t>To treat academies as "ongoing" institutions in the same way as maintained schools.</w:t>
      </w:r>
    </w:p>
    <w:p w:rsidR="00045BD5" w:rsidRDefault="00045BD5" w:rsidP="00045BD5">
      <w:pPr>
        <w:pStyle w:val="ListParagraph"/>
        <w:ind w:left="360"/>
      </w:pPr>
    </w:p>
    <w:p w:rsidR="00045BD5" w:rsidRDefault="00045BD5" w:rsidP="00045BD5">
      <w:pPr>
        <w:pStyle w:val="ListParagraph"/>
        <w:numPr>
          <w:ilvl w:val="0"/>
          <w:numId w:val="5"/>
        </w:numPr>
        <w:ind w:left="360"/>
      </w:pPr>
      <w:r>
        <w:t>To create th</w:t>
      </w:r>
      <w:r w:rsidR="00060AEC">
        <w:t>ree</w:t>
      </w:r>
      <w:r>
        <w:t xml:space="preserve"> Academy pools, one for each Education Authority from which academies have transferred.</w:t>
      </w:r>
      <w:r w:rsidR="00060AEC">
        <w:t xml:space="preserve"> This is likely to result in less movement in future service rates for the individual institutions.</w:t>
      </w:r>
    </w:p>
    <w:p w:rsidR="00045BD5" w:rsidRDefault="00045BD5" w:rsidP="00045BD5">
      <w:pPr>
        <w:pStyle w:val="ListParagraph"/>
      </w:pPr>
    </w:p>
    <w:p w:rsidR="00045BD5" w:rsidRDefault="00045BD5" w:rsidP="00045BD5">
      <w:pPr>
        <w:pStyle w:val="ListParagraph"/>
        <w:ind w:left="0"/>
      </w:pPr>
      <w:r>
        <w:t>For maintained schools the issue is that within the framework that exists for funding sc</w:t>
      </w:r>
      <w:r w:rsidR="00060AEC">
        <w:t>hools it is not possible to char</w:t>
      </w:r>
      <w:r>
        <w:t>ge individual schools a fixed cash contribution to the deficit, nor is it practical as it would mean treating a further 700+ institutions as though they were</w:t>
      </w:r>
      <w:r w:rsidR="00FD3890">
        <w:t xml:space="preserve"> separate employers.  It is therefore proposed that for maintained schools deficit contributions are set as a percentage of pay taking into account the need to ensure both a minimum fixed amount and the relevant inflationary increase are collected.  The relevant arrangements will need to be agreed on a case by case basis between the Fund's officer</w:t>
      </w:r>
      <w:r w:rsidR="00060AEC">
        <w:t>s</w:t>
      </w:r>
      <w:r w:rsidR="00FD3890">
        <w:t xml:space="preserve"> and the three education authorities.</w:t>
      </w:r>
    </w:p>
    <w:p w:rsidR="00354340" w:rsidRDefault="00354340"/>
    <w:p w:rsidR="00FD3890" w:rsidRDefault="0044084B" w:rsidP="00045BD5">
      <w:pPr>
        <w:pStyle w:val="ListParagraph"/>
        <w:ind w:left="0"/>
        <w:rPr>
          <w:b/>
        </w:rPr>
      </w:pPr>
      <w:r>
        <w:rPr>
          <w:b/>
        </w:rPr>
        <w:t>Next Steps</w:t>
      </w:r>
    </w:p>
    <w:p w:rsidR="0044084B" w:rsidRPr="0044084B" w:rsidRDefault="0044084B" w:rsidP="00045BD5">
      <w:pPr>
        <w:pStyle w:val="ListParagraph"/>
        <w:ind w:left="0"/>
      </w:pPr>
    </w:p>
    <w:p w:rsidR="0044084B" w:rsidRDefault="0044084B" w:rsidP="00045BD5">
      <w:pPr>
        <w:pStyle w:val="ListParagraph"/>
        <w:ind w:left="0"/>
      </w:pPr>
      <w:r>
        <w:t>A process o</w:t>
      </w:r>
      <w:r w:rsidR="00E503F1">
        <w:t>f engagement with employers aroun</w:t>
      </w:r>
      <w:r>
        <w:t xml:space="preserve">d the valuation results has already begun and will continue into the new calendar year.  This process will now be extended to include consultation on a draft Funding Strategy Statement which </w:t>
      </w:r>
      <w:r w:rsidR="00060AEC">
        <w:lastRenderedPageBreak/>
        <w:t>formalises the various measures</w:t>
      </w:r>
      <w:r>
        <w:t xml:space="preserve"> set out above and sets them alongside the </w:t>
      </w:r>
      <w:r w:rsidR="00060AEC">
        <w:t xml:space="preserve">Fund's high level investment </w:t>
      </w:r>
      <w:r>
        <w:t>approach.</w:t>
      </w:r>
    </w:p>
    <w:p w:rsidR="0044084B" w:rsidRDefault="0044084B" w:rsidP="00045BD5">
      <w:pPr>
        <w:pStyle w:val="ListParagraph"/>
        <w:ind w:left="0"/>
      </w:pPr>
    </w:p>
    <w:p w:rsidR="0044084B" w:rsidRPr="0044084B" w:rsidRDefault="0044084B" w:rsidP="00045BD5">
      <w:pPr>
        <w:pStyle w:val="ListParagraph"/>
        <w:ind w:left="0"/>
      </w:pPr>
      <w:r>
        <w:t xml:space="preserve">The results of this process will be reported back to the Committee during the first quarter of the </w:t>
      </w:r>
      <w:r w:rsidR="009B5EC1">
        <w:t>New Year</w:t>
      </w:r>
      <w:r>
        <w:t xml:space="preserve"> alongside the issuing by the Actuary of the final rates and </w:t>
      </w:r>
      <w:r w:rsidR="00060AEC">
        <w:t>adjustments</w:t>
      </w:r>
      <w:r>
        <w:t xml:space="preserve"> certificate.</w:t>
      </w:r>
    </w:p>
    <w:sectPr w:rsidR="0044084B" w:rsidRPr="0044084B" w:rsidSect="00994E4B">
      <w:pgSz w:w="11907" w:h="16840" w:code="9"/>
      <w:pgMar w:top="1440" w:right="1531" w:bottom="1440" w:left="1531"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F48" w:rsidRDefault="00082F48">
      <w:r>
        <w:separator/>
      </w:r>
    </w:p>
  </w:endnote>
  <w:endnote w:type="continuationSeparator" w:id="0">
    <w:p w:rsidR="00082F48" w:rsidRDefault="00082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F48" w:rsidRDefault="00082F48">
      <w:r>
        <w:separator/>
      </w:r>
    </w:p>
  </w:footnote>
  <w:footnote w:type="continuationSeparator" w:id="0">
    <w:p w:rsidR="00082F48" w:rsidRDefault="00082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5E40"/>
    <w:multiLevelType w:val="hybridMultilevel"/>
    <w:tmpl w:val="73D8B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2E7BDF"/>
    <w:multiLevelType w:val="hybridMultilevel"/>
    <w:tmpl w:val="C082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A1375B"/>
    <w:multiLevelType w:val="hybridMultilevel"/>
    <w:tmpl w:val="B4EC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E50C2D"/>
    <w:multiLevelType w:val="hybridMultilevel"/>
    <w:tmpl w:val="7CB6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644DE1"/>
    <w:multiLevelType w:val="hybridMultilevel"/>
    <w:tmpl w:val="C6D2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C6EAB"/>
    <w:rsid w:val="0000643F"/>
    <w:rsid w:val="000110DF"/>
    <w:rsid w:val="000128DC"/>
    <w:rsid w:val="00012BFE"/>
    <w:rsid w:val="00015161"/>
    <w:rsid w:val="0001564B"/>
    <w:rsid w:val="0002041E"/>
    <w:rsid w:val="00021E14"/>
    <w:rsid w:val="00043A7E"/>
    <w:rsid w:val="00045BD5"/>
    <w:rsid w:val="00054EA6"/>
    <w:rsid w:val="000557B4"/>
    <w:rsid w:val="00055AA9"/>
    <w:rsid w:val="00055DB4"/>
    <w:rsid w:val="00060AEC"/>
    <w:rsid w:val="00067C04"/>
    <w:rsid w:val="00070E3A"/>
    <w:rsid w:val="00077417"/>
    <w:rsid w:val="00081B10"/>
    <w:rsid w:val="00082F48"/>
    <w:rsid w:val="00092A8E"/>
    <w:rsid w:val="00095311"/>
    <w:rsid w:val="000B2C66"/>
    <w:rsid w:val="000C4334"/>
    <w:rsid w:val="000C5661"/>
    <w:rsid w:val="000C6329"/>
    <w:rsid w:val="000C7147"/>
    <w:rsid w:val="000C76AE"/>
    <w:rsid w:val="000D600C"/>
    <w:rsid w:val="000D77AD"/>
    <w:rsid w:val="000E0744"/>
    <w:rsid w:val="000E19CA"/>
    <w:rsid w:val="000E3444"/>
    <w:rsid w:val="000E51FC"/>
    <w:rsid w:val="000F6921"/>
    <w:rsid w:val="001003D5"/>
    <w:rsid w:val="00101299"/>
    <w:rsid w:val="00117204"/>
    <w:rsid w:val="00120045"/>
    <w:rsid w:val="00126FAE"/>
    <w:rsid w:val="001305EF"/>
    <w:rsid w:val="0013376A"/>
    <w:rsid w:val="001340A1"/>
    <w:rsid w:val="00136162"/>
    <w:rsid w:val="0013639E"/>
    <w:rsid w:val="001403F2"/>
    <w:rsid w:val="00146964"/>
    <w:rsid w:val="001519C1"/>
    <w:rsid w:val="001532BC"/>
    <w:rsid w:val="00156510"/>
    <w:rsid w:val="00160A99"/>
    <w:rsid w:val="001674CA"/>
    <w:rsid w:val="00170C37"/>
    <w:rsid w:val="00173E8B"/>
    <w:rsid w:val="0017457B"/>
    <w:rsid w:val="00174EC9"/>
    <w:rsid w:val="00176218"/>
    <w:rsid w:val="00177A8D"/>
    <w:rsid w:val="001836A5"/>
    <w:rsid w:val="001871B6"/>
    <w:rsid w:val="00192497"/>
    <w:rsid w:val="001925DB"/>
    <w:rsid w:val="001930C1"/>
    <w:rsid w:val="001A3AD0"/>
    <w:rsid w:val="001A69AA"/>
    <w:rsid w:val="001B6769"/>
    <w:rsid w:val="001C647E"/>
    <w:rsid w:val="001C6EAB"/>
    <w:rsid w:val="001D5D4D"/>
    <w:rsid w:val="001D7898"/>
    <w:rsid w:val="001E019B"/>
    <w:rsid w:val="001E0BF6"/>
    <w:rsid w:val="001E31F5"/>
    <w:rsid w:val="001E4ADB"/>
    <w:rsid w:val="001F0C55"/>
    <w:rsid w:val="001F549F"/>
    <w:rsid w:val="0020586D"/>
    <w:rsid w:val="0021019D"/>
    <w:rsid w:val="00223F3D"/>
    <w:rsid w:val="0022789E"/>
    <w:rsid w:val="00227A08"/>
    <w:rsid w:val="00230B07"/>
    <w:rsid w:val="00230CAD"/>
    <w:rsid w:val="00231111"/>
    <w:rsid w:val="00231493"/>
    <w:rsid w:val="002334AF"/>
    <w:rsid w:val="002334B2"/>
    <w:rsid w:val="00237E81"/>
    <w:rsid w:val="00240BF9"/>
    <w:rsid w:val="00242EB3"/>
    <w:rsid w:val="0024367E"/>
    <w:rsid w:val="00253336"/>
    <w:rsid w:val="00256765"/>
    <w:rsid w:val="00257EDA"/>
    <w:rsid w:val="00266B31"/>
    <w:rsid w:val="002678A5"/>
    <w:rsid w:val="00272756"/>
    <w:rsid w:val="002757DB"/>
    <w:rsid w:val="00277E03"/>
    <w:rsid w:val="00287C98"/>
    <w:rsid w:val="00291E11"/>
    <w:rsid w:val="0029362E"/>
    <w:rsid w:val="00296726"/>
    <w:rsid w:val="002A3B19"/>
    <w:rsid w:val="002A424E"/>
    <w:rsid w:val="002A5855"/>
    <w:rsid w:val="002A58D0"/>
    <w:rsid w:val="002B38A5"/>
    <w:rsid w:val="002C3C61"/>
    <w:rsid w:val="002D15CF"/>
    <w:rsid w:val="002D6643"/>
    <w:rsid w:val="002D6845"/>
    <w:rsid w:val="002D7F72"/>
    <w:rsid w:val="002E1A84"/>
    <w:rsid w:val="002E5339"/>
    <w:rsid w:val="002F0585"/>
    <w:rsid w:val="002F1C4C"/>
    <w:rsid w:val="002F3315"/>
    <w:rsid w:val="002F3815"/>
    <w:rsid w:val="002F7A2E"/>
    <w:rsid w:val="00301299"/>
    <w:rsid w:val="00301D71"/>
    <w:rsid w:val="00302924"/>
    <w:rsid w:val="00302A2B"/>
    <w:rsid w:val="0030412D"/>
    <w:rsid w:val="0030617D"/>
    <w:rsid w:val="0030780F"/>
    <w:rsid w:val="0031453F"/>
    <w:rsid w:val="00314BD3"/>
    <w:rsid w:val="00331920"/>
    <w:rsid w:val="0033572A"/>
    <w:rsid w:val="00354340"/>
    <w:rsid w:val="0035583A"/>
    <w:rsid w:val="00366188"/>
    <w:rsid w:val="0036759F"/>
    <w:rsid w:val="0037668B"/>
    <w:rsid w:val="003826EC"/>
    <w:rsid w:val="00383003"/>
    <w:rsid w:val="0038313B"/>
    <w:rsid w:val="003836F7"/>
    <w:rsid w:val="00390B80"/>
    <w:rsid w:val="00392C08"/>
    <w:rsid w:val="00395823"/>
    <w:rsid w:val="003A2ABB"/>
    <w:rsid w:val="003A525D"/>
    <w:rsid w:val="003A5A0B"/>
    <w:rsid w:val="003A68B4"/>
    <w:rsid w:val="003B1535"/>
    <w:rsid w:val="003B2EB9"/>
    <w:rsid w:val="003B3DF9"/>
    <w:rsid w:val="003B459C"/>
    <w:rsid w:val="003B59E3"/>
    <w:rsid w:val="003B7755"/>
    <w:rsid w:val="003D029B"/>
    <w:rsid w:val="003E13D0"/>
    <w:rsid w:val="003E5F4B"/>
    <w:rsid w:val="003E6E17"/>
    <w:rsid w:val="003E7A00"/>
    <w:rsid w:val="003F0E14"/>
    <w:rsid w:val="003F1C82"/>
    <w:rsid w:val="003F7927"/>
    <w:rsid w:val="0040083E"/>
    <w:rsid w:val="00402B95"/>
    <w:rsid w:val="0040524D"/>
    <w:rsid w:val="00406BCD"/>
    <w:rsid w:val="00410A47"/>
    <w:rsid w:val="00414416"/>
    <w:rsid w:val="004146A8"/>
    <w:rsid w:val="004201EB"/>
    <w:rsid w:val="004203E3"/>
    <w:rsid w:val="00423AFF"/>
    <w:rsid w:val="0044084B"/>
    <w:rsid w:val="00443235"/>
    <w:rsid w:val="00447FD0"/>
    <w:rsid w:val="00451911"/>
    <w:rsid w:val="00451A69"/>
    <w:rsid w:val="004548E5"/>
    <w:rsid w:val="00455DCB"/>
    <w:rsid w:val="00465242"/>
    <w:rsid w:val="00471F35"/>
    <w:rsid w:val="00472CBE"/>
    <w:rsid w:val="00483CED"/>
    <w:rsid w:val="004A05C5"/>
    <w:rsid w:val="004B0280"/>
    <w:rsid w:val="004B1A2C"/>
    <w:rsid w:val="004B2500"/>
    <w:rsid w:val="004B3C7D"/>
    <w:rsid w:val="004B57FF"/>
    <w:rsid w:val="004B69CB"/>
    <w:rsid w:val="004B7730"/>
    <w:rsid w:val="004C005F"/>
    <w:rsid w:val="004C1757"/>
    <w:rsid w:val="004C1DCF"/>
    <w:rsid w:val="004C3652"/>
    <w:rsid w:val="004D06DA"/>
    <w:rsid w:val="004D5381"/>
    <w:rsid w:val="004D5D17"/>
    <w:rsid w:val="004E2D20"/>
    <w:rsid w:val="004E4F7B"/>
    <w:rsid w:val="004F6C8C"/>
    <w:rsid w:val="004F7A0D"/>
    <w:rsid w:val="00504978"/>
    <w:rsid w:val="00506EBF"/>
    <w:rsid w:val="005073A7"/>
    <w:rsid w:val="00513523"/>
    <w:rsid w:val="005155BD"/>
    <w:rsid w:val="005232E6"/>
    <w:rsid w:val="00524742"/>
    <w:rsid w:val="00524B06"/>
    <w:rsid w:val="00526D85"/>
    <w:rsid w:val="00530C2F"/>
    <w:rsid w:val="00535585"/>
    <w:rsid w:val="00536E0F"/>
    <w:rsid w:val="0054058D"/>
    <w:rsid w:val="00550C02"/>
    <w:rsid w:val="00551D22"/>
    <w:rsid w:val="005566C3"/>
    <w:rsid w:val="0056088D"/>
    <w:rsid w:val="0056290F"/>
    <w:rsid w:val="00565677"/>
    <w:rsid w:val="00565817"/>
    <w:rsid w:val="005763D7"/>
    <w:rsid w:val="00576FCB"/>
    <w:rsid w:val="005828DD"/>
    <w:rsid w:val="005862AF"/>
    <w:rsid w:val="00586523"/>
    <w:rsid w:val="00590300"/>
    <w:rsid w:val="00591BC7"/>
    <w:rsid w:val="00594C10"/>
    <w:rsid w:val="005953AC"/>
    <w:rsid w:val="005A0801"/>
    <w:rsid w:val="005A2ED7"/>
    <w:rsid w:val="005B12E2"/>
    <w:rsid w:val="005B5C57"/>
    <w:rsid w:val="005C1ED8"/>
    <w:rsid w:val="005C23A6"/>
    <w:rsid w:val="005D4341"/>
    <w:rsid w:val="005D52A8"/>
    <w:rsid w:val="005D6131"/>
    <w:rsid w:val="005E12B8"/>
    <w:rsid w:val="005E20E2"/>
    <w:rsid w:val="005E263D"/>
    <w:rsid w:val="005E281A"/>
    <w:rsid w:val="005E5397"/>
    <w:rsid w:val="005E68C7"/>
    <w:rsid w:val="005E6B6D"/>
    <w:rsid w:val="005F0D9E"/>
    <w:rsid w:val="005F3800"/>
    <w:rsid w:val="005F70ED"/>
    <w:rsid w:val="005F7350"/>
    <w:rsid w:val="00602EDA"/>
    <w:rsid w:val="00607B37"/>
    <w:rsid w:val="00624CE7"/>
    <w:rsid w:val="00632936"/>
    <w:rsid w:val="00632FA5"/>
    <w:rsid w:val="0063363B"/>
    <w:rsid w:val="006340A8"/>
    <w:rsid w:val="00635C26"/>
    <w:rsid w:val="00636137"/>
    <w:rsid w:val="00636464"/>
    <w:rsid w:val="0063646A"/>
    <w:rsid w:val="00646294"/>
    <w:rsid w:val="00651B6B"/>
    <w:rsid w:val="00652430"/>
    <w:rsid w:val="006539F4"/>
    <w:rsid w:val="00656693"/>
    <w:rsid w:val="0066088E"/>
    <w:rsid w:val="00661DC7"/>
    <w:rsid w:val="00666AD8"/>
    <w:rsid w:val="00667AB9"/>
    <w:rsid w:val="00671F58"/>
    <w:rsid w:val="00676EC9"/>
    <w:rsid w:val="00681171"/>
    <w:rsid w:val="00684553"/>
    <w:rsid w:val="006872E5"/>
    <w:rsid w:val="0069317A"/>
    <w:rsid w:val="006974AB"/>
    <w:rsid w:val="006A1296"/>
    <w:rsid w:val="006A46F7"/>
    <w:rsid w:val="006B068B"/>
    <w:rsid w:val="006B2055"/>
    <w:rsid w:val="006B2161"/>
    <w:rsid w:val="006B469B"/>
    <w:rsid w:val="006B7006"/>
    <w:rsid w:val="006C1E4B"/>
    <w:rsid w:val="006C6910"/>
    <w:rsid w:val="006D341D"/>
    <w:rsid w:val="006D50AB"/>
    <w:rsid w:val="006D69E2"/>
    <w:rsid w:val="006D7B95"/>
    <w:rsid w:val="006F1449"/>
    <w:rsid w:val="006F1522"/>
    <w:rsid w:val="006F3C71"/>
    <w:rsid w:val="00700B2F"/>
    <w:rsid w:val="00701BF7"/>
    <w:rsid w:val="007054E0"/>
    <w:rsid w:val="007312C6"/>
    <w:rsid w:val="007329CD"/>
    <w:rsid w:val="00732B07"/>
    <w:rsid w:val="00735BF5"/>
    <w:rsid w:val="00741084"/>
    <w:rsid w:val="00741E78"/>
    <w:rsid w:val="0074235B"/>
    <w:rsid w:val="007449EE"/>
    <w:rsid w:val="00744B90"/>
    <w:rsid w:val="007471B0"/>
    <w:rsid w:val="00757522"/>
    <w:rsid w:val="007633E3"/>
    <w:rsid w:val="007719F8"/>
    <w:rsid w:val="007754D6"/>
    <w:rsid w:val="00775E0A"/>
    <w:rsid w:val="00777E93"/>
    <w:rsid w:val="00785AE2"/>
    <w:rsid w:val="00790207"/>
    <w:rsid w:val="00790819"/>
    <w:rsid w:val="007941E5"/>
    <w:rsid w:val="0079529F"/>
    <w:rsid w:val="00796438"/>
    <w:rsid w:val="00797C7C"/>
    <w:rsid w:val="007B0125"/>
    <w:rsid w:val="007B0177"/>
    <w:rsid w:val="007B3907"/>
    <w:rsid w:val="007B4A31"/>
    <w:rsid w:val="007B506F"/>
    <w:rsid w:val="007B5D8D"/>
    <w:rsid w:val="007C686E"/>
    <w:rsid w:val="007D0372"/>
    <w:rsid w:val="007D1128"/>
    <w:rsid w:val="007D1A96"/>
    <w:rsid w:val="007D371C"/>
    <w:rsid w:val="007D4443"/>
    <w:rsid w:val="007D483B"/>
    <w:rsid w:val="007D4B26"/>
    <w:rsid w:val="007E0D60"/>
    <w:rsid w:val="007F1592"/>
    <w:rsid w:val="007F38B7"/>
    <w:rsid w:val="007F459E"/>
    <w:rsid w:val="007F4C09"/>
    <w:rsid w:val="007F5958"/>
    <w:rsid w:val="007F7281"/>
    <w:rsid w:val="00803156"/>
    <w:rsid w:val="0081252D"/>
    <w:rsid w:val="00812B70"/>
    <w:rsid w:val="0081461D"/>
    <w:rsid w:val="0082217C"/>
    <w:rsid w:val="0082290E"/>
    <w:rsid w:val="00823C2C"/>
    <w:rsid w:val="00833AE0"/>
    <w:rsid w:val="00835908"/>
    <w:rsid w:val="008365E6"/>
    <w:rsid w:val="00837C73"/>
    <w:rsid w:val="00853522"/>
    <w:rsid w:val="00856E0F"/>
    <w:rsid w:val="00860D19"/>
    <w:rsid w:val="00860F75"/>
    <w:rsid w:val="008669DC"/>
    <w:rsid w:val="008679E0"/>
    <w:rsid w:val="00867EC5"/>
    <w:rsid w:val="0087289C"/>
    <w:rsid w:val="00881EEF"/>
    <w:rsid w:val="00887859"/>
    <w:rsid w:val="008A2EAB"/>
    <w:rsid w:val="008B1D57"/>
    <w:rsid w:val="008B210C"/>
    <w:rsid w:val="008B35AC"/>
    <w:rsid w:val="008B5545"/>
    <w:rsid w:val="008C3F58"/>
    <w:rsid w:val="008C53FF"/>
    <w:rsid w:val="008D1283"/>
    <w:rsid w:val="008D52C8"/>
    <w:rsid w:val="008D7DFB"/>
    <w:rsid w:val="008E17F5"/>
    <w:rsid w:val="008E2610"/>
    <w:rsid w:val="008F2842"/>
    <w:rsid w:val="008F3168"/>
    <w:rsid w:val="008F4F13"/>
    <w:rsid w:val="00901545"/>
    <w:rsid w:val="009052BA"/>
    <w:rsid w:val="00907FF9"/>
    <w:rsid w:val="00920B86"/>
    <w:rsid w:val="0092108E"/>
    <w:rsid w:val="00924B35"/>
    <w:rsid w:val="00933202"/>
    <w:rsid w:val="009343CE"/>
    <w:rsid w:val="00934496"/>
    <w:rsid w:val="00935FD9"/>
    <w:rsid w:val="00941A41"/>
    <w:rsid w:val="009466F9"/>
    <w:rsid w:val="00954504"/>
    <w:rsid w:val="0096159C"/>
    <w:rsid w:val="00961A30"/>
    <w:rsid w:val="009673A0"/>
    <w:rsid w:val="00974509"/>
    <w:rsid w:val="0098132D"/>
    <w:rsid w:val="00981532"/>
    <w:rsid w:val="00982A24"/>
    <w:rsid w:val="00985A85"/>
    <w:rsid w:val="00987FFB"/>
    <w:rsid w:val="00992220"/>
    <w:rsid w:val="0099363C"/>
    <w:rsid w:val="00994E4B"/>
    <w:rsid w:val="00996BCE"/>
    <w:rsid w:val="009A255C"/>
    <w:rsid w:val="009A3825"/>
    <w:rsid w:val="009A639A"/>
    <w:rsid w:val="009A63C9"/>
    <w:rsid w:val="009B0A83"/>
    <w:rsid w:val="009B1DB5"/>
    <w:rsid w:val="009B22A2"/>
    <w:rsid w:val="009B250B"/>
    <w:rsid w:val="009B449C"/>
    <w:rsid w:val="009B49C3"/>
    <w:rsid w:val="009B5EC1"/>
    <w:rsid w:val="009C2245"/>
    <w:rsid w:val="009C2F43"/>
    <w:rsid w:val="009C4A1E"/>
    <w:rsid w:val="009C4E6B"/>
    <w:rsid w:val="009E1E95"/>
    <w:rsid w:val="009E40D0"/>
    <w:rsid w:val="009F321A"/>
    <w:rsid w:val="00A00BA3"/>
    <w:rsid w:val="00A037BB"/>
    <w:rsid w:val="00A05D42"/>
    <w:rsid w:val="00A06631"/>
    <w:rsid w:val="00A1340B"/>
    <w:rsid w:val="00A14CC8"/>
    <w:rsid w:val="00A172C6"/>
    <w:rsid w:val="00A213A5"/>
    <w:rsid w:val="00A32BC4"/>
    <w:rsid w:val="00A33269"/>
    <w:rsid w:val="00A33426"/>
    <w:rsid w:val="00A34FB1"/>
    <w:rsid w:val="00A429A9"/>
    <w:rsid w:val="00A442A7"/>
    <w:rsid w:val="00A44FBB"/>
    <w:rsid w:val="00A47BB1"/>
    <w:rsid w:val="00A51ACF"/>
    <w:rsid w:val="00A52530"/>
    <w:rsid w:val="00A5471D"/>
    <w:rsid w:val="00A54A2D"/>
    <w:rsid w:val="00A71F8E"/>
    <w:rsid w:val="00A723FC"/>
    <w:rsid w:val="00A81F65"/>
    <w:rsid w:val="00A840D7"/>
    <w:rsid w:val="00A85A35"/>
    <w:rsid w:val="00A944AB"/>
    <w:rsid w:val="00A97330"/>
    <w:rsid w:val="00AA0ACA"/>
    <w:rsid w:val="00AA10B0"/>
    <w:rsid w:val="00AA43FC"/>
    <w:rsid w:val="00AB1389"/>
    <w:rsid w:val="00AB56F7"/>
    <w:rsid w:val="00AB5DC9"/>
    <w:rsid w:val="00AC016E"/>
    <w:rsid w:val="00AC7990"/>
    <w:rsid w:val="00AC7CCA"/>
    <w:rsid w:val="00AD330A"/>
    <w:rsid w:val="00AE3AE9"/>
    <w:rsid w:val="00AF3A47"/>
    <w:rsid w:val="00AF7F47"/>
    <w:rsid w:val="00B1674B"/>
    <w:rsid w:val="00B24B8B"/>
    <w:rsid w:val="00B37CD6"/>
    <w:rsid w:val="00B40142"/>
    <w:rsid w:val="00B4488A"/>
    <w:rsid w:val="00B448C1"/>
    <w:rsid w:val="00B47387"/>
    <w:rsid w:val="00B47918"/>
    <w:rsid w:val="00B50D17"/>
    <w:rsid w:val="00B513FD"/>
    <w:rsid w:val="00B527C8"/>
    <w:rsid w:val="00B53097"/>
    <w:rsid w:val="00B57659"/>
    <w:rsid w:val="00B71D4F"/>
    <w:rsid w:val="00B87492"/>
    <w:rsid w:val="00B90F2A"/>
    <w:rsid w:val="00B96DC2"/>
    <w:rsid w:val="00BA14BA"/>
    <w:rsid w:val="00BA150C"/>
    <w:rsid w:val="00BA1A9B"/>
    <w:rsid w:val="00BB1436"/>
    <w:rsid w:val="00BC0B44"/>
    <w:rsid w:val="00BC2430"/>
    <w:rsid w:val="00BC6B2C"/>
    <w:rsid w:val="00BC79CA"/>
    <w:rsid w:val="00BD0C70"/>
    <w:rsid w:val="00BD25CD"/>
    <w:rsid w:val="00BD3426"/>
    <w:rsid w:val="00BE09E8"/>
    <w:rsid w:val="00BE1595"/>
    <w:rsid w:val="00BE2BFB"/>
    <w:rsid w:val="00BE4B74"/>
    <w:rsid w:val="00BE6101"/>
    <w:rsid w:val="00BF0192"/>
    <w:rsid w:val="00BF2F4A"/>
    <w:rsid w:val="00C028EB"/>
    <w:rsid w:val="00C173A0"/>
    <w:rsid w:val="00C208E7"/>
    <w:rsid w:val="00C23D26"/>
    <w:rsid w:val="00C31752"/>
    <w:rsid w:val="00C351BB"/>
    <w:rsid w:val="00C353BF"/>
    <w:rsid w:val="00C40D51"/>
    <w:rsid w:val="00C42DF7"/>
    <w:rsid w:val="00C54B50"/>
    <w:rsid w:val="00C54CAE"/>
    <w:rsid w:val="00C561A9"/>
    <w:rsid w:val="00C632B7"/>
    <w:rsid w:val="00C65A95"/>
    <w:rsid w:val="00C7298D"/>
    <w:rsid w:val="00C7439B"/>
    <w:rsid w:val="00C748DD"/>
    <w:rsid w:val="00C75AFB"/>
    <w:rsid w:val="00C76436"/>
    <w:rsid w:val="00C76705"/>
    <w:rsid w:val="00C804CD"/>
    <w:rsid w:val="00C828A1"/>
    <w:rsid w:val="00C87A05"/>
    <w:rsid w:val="00C91E38"/>
    <w:rsid w:val="00C93E94"/>
    <w:rsid w:val="00C9480F"/>
    <w:rsid w:val="00C96462"/>
    <w:rsid w:val="00CA0EB9"/>
    <w:rsid w:val="00CA61D8"/>
    <w:rsid w:val="00CB1B1F"/>
    <w:rsid w:val="00CB261C"/>
    <w:rsid w:val="00CB772C"/>
    <w:rsid w:val="00CD2FB0"/>
    <w:rsid w:val="00CD4F62"/>
    <w:rsid w:val="00CE4F7F"/>
    <w:rsid w:val="00CF3F19"/>
    <w:rsid w:val="00CF5A8A"/>
    <w:rsid w:val="00CF6427"/>
    <w:rsid w:val="00CF6C1C"/>
    <w:rsid w:val="00D0193B"/>
    <w:rsid w:val="00D127BF"/>
    <w:rsid w:val="00D13FB5"/>
    <w:rsid w:val="00D1404C"/>
    <w:rsid w:val="00D14EF6"/>
    <w:rsid w:val="00D202D3"/>
    <w:rsid w:val="00D3168D"/>
    <w:rsid w:val="00D435DD"/>
    <w:rsid w:val="00D45A11"/>
    <w:rsid w:val="00D467CC"/>
    <w:rsid w:val="00D55AE7"/>
    <w:rsid w:val="00D6177C"/>
    <w:rsid w:val="00D63395"/>
    <w:rsid w:val="00D66BC1"/>
    <w:rsid w:val="00D71B21"/>
    <w:rsid w:val="00D72E4F"/>
    <w:rsid w:val="00D87039"/>
    <w:rsid w:val="00D87D03"/>
    <w:rsid w:val="00D96E18"/>
    <w:rsid w:val="00DA30C3"/>
    <w:rsid w:val="00DA40A9"/>
    <w:rsid w:val="00DA6268"/>
    <w:rsid w:val="00DA62B5"/>
    <w:rsid w:val="00DA783B"/>
    <w:rsid w:val="00DB04D0"/>
    <w:rsid w:val="00DB1750"/>
    <w:rsid w:val="00DB37BC"/>
    <w:rsid w:val="00DB4074"/>
    <w:rsid w:val="00DC004E"/>
    <w:rsid w:val="00DC5B34"/>
    <w:rsid w:val="00DC61BF"/>
    <w:rsid w:val="00DD5951"/>
    <w:rsid w:val="00DD71D8"/>
    <w:rsid w:val="00DD74B4"/>
    <w:rsid w:val="00DE34FE"/>
    <w:rsid w:val="00DE3E3F"/>
    <w:rsid w:val="00DF5190"/>
    <w:rsid w:val="00E009FB"/>
    <w:rsid w:val="00E01AB6"/>
    <w:rsid w:val="00E032CF"/>
    <w:rsid w:val="00E043EB"/>
    <w:rsid w:val="00E05A23"/>
    <w:rsid w:val="00E0616C"/>
    <w:rsid w:val="00E07679"/>
    <w:rsid w:val="00E1002B"/>
    <w:rsid w:val="00E11989"/>
    <w:rsid w:val="00E12324"/>
    <w:rsid w:val="00E12427"/>
    <w:rsid w:val="00E137B9"/>
    <w:rsid w:val="00E1397A"/>
    <w:rsid w:val="00E1536E"/>
    <w:rsid w:val="00E20050"/>
    <w:rsid w:val="00E21F28"/>
    <w:rsid w:val="00E25154"/>
    <w:rsid w:val="00E25EF7"/>
    <w:rsid w:val="00E27385"/>
    <w:rsid w:val="00E405B3"/>
    <w:rsid w:val="00E41781"/>
    <w:rsid w:val="00E41E21"/>
    <w:rsid w:val="00E503F1"/>
    <w:rsid w:val="00E5396D"/>
    <w:rsid w:val="00E560C3"/>
    <w:rsid w:val="00E7042B"/>
    <w:rsid w:val="00E704B0"/>
    <w:rsid w:val="00E70BF2"/>
    <w:rsid w:val="00E729CC"/>
    <w:rsid w:val="00E731C1"/>
    <w:rsid w:val="00E76CFE"/>
    <w:rsid w:val="00E77381"/>
    <w:rsid w:val="00E77EB2"/>
    <w:rsid w:val="00E8444B"/>
    <w:rsid w:val="00E869C8"/>
    <w:rsid w:val="00E878E7"/>
    <w:rsid w:val="00E96009"/>
    <w:rsid w:val="00E96729"/>
    <w:rsid w:val="00E97840"/>
    <w:rsid w:val="00E979AB"/>
    <w:rsid w:val="00EA063F"/>
    <w:rsid w:val="00EB134F"/>
    <w:rsid w:val="00EB3F16"/>
    <w:rsid w:val="00EB5861"/>
    <w:rsid w:val="00EB73D5"/>
    <w:rsid w:val="00ED25CE"/>
    <w:rsid w:val="00ED3828"/>
    <w:rsid w:val="00ED62BE"/>
    <w:rsid w:val="00ED7F8A"/>
    <w:rsid w:val="00EE2483"/>
    <w:rsid w:val="00EE4314"/>
    <w:rsid w:val="00EE6DBE"/>
    <w:rsid w:val="00EE7947"/>
    <w:rsid w:val="00EF6C9A"/>
    <w:rsid w:val="00F04954"/>
    <w:rsid w:val="00F06C3A"/>
    <w:rsid w:val="00F109EA"/>
    <w:rsid w:val="00F11FCC"/>
    <w:rsid w:val="00F12594"/>
    <w:rsid w:val="00F13D19"/>
    <w:rsid w:val="00F271EB"/>
    <w:rsid w:val="00F27404"/>
    <w:rsid w:val="00F35FFF"/>
    <w:rsid w:val="00F4073D"/>
    <w:rsid w:val="00F40751"/>
    <w:rsid w:val="00F40844"/>
    <w:rsid w:val="00F414CE"/>
    <w:rsid w:val="00F42AB8"/>
    <w:rsid w:val="00F440E9"/>
    <w:rsid w:val="00F462D9"/>
    <w:rsid w:val="00F50C9A"/>
    <w:rsid w:val="00F56835"/>
    <w:rsid w:val="00F66CAD"/>
    <w:rsid w:val="00F6757B"/>
    <w:rsid w:val="00F71FE7"/>
    <w:rsid w:val="00F7570C"/>
    <w:rsid w:val="00F764EA"/>
    <w:rsid w:val="00F836D3"/>
    <w:rsid w:val="00F94EB0"/>
    <w:rsid w:val="00F95C6D"/>
    <w:rsid w:val="00F97924"/>
    <w:rsid w:val="00FB315D"/>
    <w:rsid w:val="00FB5EB7"/>
    <w:rsid w:val="00FB679A"/>
    <w:rsid w:val="00FC1DDB"/>
    <w:rsid w:val="00FC220F"/>
    <w:rsid w:val="00FC2E66"/>
    <w:rsid w:val="00FC7069"/>
    <w:rsid w:val="00FC7534"/>
    <w:rsid w:val="00FD3809"/>
    <w:rsid w:val="00FD3890"/>
    <w:rsid w:val="00FD42AD"/>
    <w:rsid w:val="00FE00E4"/>
    <w:rsid w:val="00FE05D9"/>
    <w:rsid w:val="00FE6212"/>
    <w:rsid w:val="00FF58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39E"/>
    <w:rPr>
      <w:rFonts w:ascii="Arial" w:hAnsi="Arial" w:cs="Arial"/>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F13"/>
    <w:pPr>
      <w:tabs>
        <w:tab w:val="center" w:pos="4320"/>
        <w:tab w:val="right" w:pos="8640"/>
      </w:tabs>
    </w:pPr>
  </w:style>
  <w:style w:type="paragraph" w:styleId="Footer">
    <w:name w:val="footer"/>
    <w:basedOn w:val="Normal"/>
    <w:rsid w:val="008F4F13"/>
    <w:pPr>
      <w:tabs>
        <w:tab w:val="center" w:pos="4320"/>
        <w:tab w:val="right" w:pos="8640"/>
      </w:tabs>
    </w:pPr>
  </w:style>
  <w:style w:type="paragraph" w:styleId="ListParagraph">
    <w:name w:val="List Paragraph"/>
    <w:basedOn w:val="Normal"/>
    <w:uiPriority w:val="34"/>
    <w:qFormat/>
    <w:rsid w:val="00941A41"/>
    <w:pPr>
      <w:ind w:left="720"/>
      <w:contextualSpacing/>
    </w:pPr>
  </w:style>
  <w:style w:type="paragraph" w:styleId="BalloonText">
    <w:name w:val="Balloon Text"/>
    <w:basedOn w:val="Normal"/>
    <w:link w:val="BalloonTextChar"/>
    <w:rsid w:val="00A1340B"/>
    <w:rPr>
      <w:rFonts w:ascii="Tahoma" w:hAnsi="Tahoma" w:cs="Tahoma"/>
      <w:sz w:val="16"/>
      <w:szCs w:val="16"/>
    </w:rPr>
  </w:style>
  <w:style w:type="character" w:customStyle="1" w:styleId="BalloonTextChar">
    <w:name w:val="Balloon Text Char"/>
    <w:basedOn w:val="DefaultParagraphFont"/>
    <w:link w:val="BalloonText"/>
    <w:rsid w:val="00A1340B"/>
    <w:rPr>
      <w:rFonts w:ascii="Tahoma" w:hAnsi="Tahoma" w:cs="Tahoma"/>
      <w:kern w:val="28"/>
      <w:sz w:val="16"/>
      <w:szCs w:val="16"/>
      <w:lang w:eastAsia="en-US"/>
    </w:rPr>
  </w:style>
  <w:style w:type="character" w:styleId="CommentReference">
    <w:name w:val="annotation reference"/>
    <w:basedOn w:val="DefaultParagraphFont"/>
    <w:rsid w:val="00EE4314"/>
    <w:rPr>
      <w:sz w:val="16"/>
      <w:szCs w:val="16"/>
    </w:rPr>
  </w:style>
  <w:style w:type="paragraph" w:styleId="CommentText">
    <w:name w:val="annotation text"/>
    <w:basedOn w:val="Normal"/>
    <w:link w:val="CommentTextChar"/>
    <w:rsid w:val="00EE4314"/>
    <w:rPr>
      <w:sz w:val="20"/>
      <w:szCs w:val="20"/>
    </w:rPr>
  </w:style>
  <w:style w:type="character" w:customStyle="1" w:styleId="CommentTextChar">
    <w:name w:val="Comment Text Char"/>
    <w:basedOn w:val="DefaultParagraphFont"/>
    <w:link w:val="CommentText"/>
    <w:rsid w:val="00EE4314"/>
    <w:rPr>
      <w:rFonts w:ascii="Arial" w:hAnsi="Arial" w:cs="Arial"/>
      <w:kern w:val="28"/>
      <w:lang w:eastAsia="en-US"/>
    </w:rPr>
  </w:style>
  <w:style w:type="paragraph" w:styleId="CommentSubject">
    <w:name w:val="annotation subject"/>
    <w:basedOn w:val="CommentText"/>
    <w:next w:val="CommentText"/>
    <w:link w:val="CommentSubjectChar"/>
    <w:rsid w:val="00EE4314"/>
    <w:rPr>
      <w:b/>
      <w:bCs/>
    </w:rPr>
  </w:style>
  <w:style w:type="character" w:customStyle="1" w:styleId="CommentSubjectChar">
    <w:name w:val="Comment Subject Char"/>
    <w:basedOn w:val="CommentTextChar"/>
    <w:link w:val="CommentSubject"/>
    <w:rsid w:val="00EE43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res\Finance\Directors\rdfgg\Pension%20Fund%20General\Actuarial%20Valuation\2013%20Valuation\Graph%20for%20Ctte%20Rept%20Nov%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rich>
          <a:bodyPr/>
          <a:lstStyle/>
          <a:p>
            <a:pPr algn="ctr">
              <a:defRPr/>
            </a:pPr>
            <a:r>
              <a:rPr lang="en-GB"/>
              <a:t>Analysis</a:t>
            </a:r>
            <a:r>
              <a:rPr lang="en-GB" baseline="0"/>
              <a:t> of Change in 2010 Deficit Position to 2013 Baseline Position</a:t>
            </a:r>
            <a:endParaRPr lang="en-GB"/>
          </a:p>
        </c:rich>
      </c:tx>
      <c:layout/>
    </c:title>
    <c:plotArea>
      <c:layout/>
      <c:barChart>
        <c:barDir val="col"/>
        <c:grouping val="clustered"/>
        <c:ser>
          <c:idx val="0"/>
          <c:order val="0"/>
          <c:tx>
            <c:v>Value £m</c:v>
          </c:tx>
          <c:cat>
            <c:strRef>
              <c:f>Sheet1!$A$3:$A$11</c:f>
              <c:strCache>
                <c:ptCount val="9"/>
                <c:pt idx="0">
                  <c:v>Deficit at 31 March 2010</c:v>
                </c:pt>
                <c:pt idx="1">
                  <c:v>Interest on Deficit</c:v>
                </c:pt>
                <c:pt idx="2">
                  <c:v>Investment returns vs accumptions</c:v>
                </c:pt>
                <c:pt idx="3">
                  <c:v>Contributions paid vs benefits accruing</c:v>
                </c:pt>
                <c:pt idx="4">
                  <c:v>Salary gain</c:v>
                </c:pt>
                <c:pt idx="5">
                  <c:v>Change in demographic assumptions</c:v>
                </c:pt>
                <c:pt idx="6">
                  <c:v>Change in financial assumptions</c:v>
                </c:pt>
                <c:pt idx="7">
                  <c:v>Member movements and other factors</c:v>
                </c:pt>
                <c:pt idx="8">
                  <c:v>Deficit at 31 March 2013</c:v>
                </c:pt>
              </c:strCache>
            </c:strRef>
          </c:cat>
          <c:val>
            <c:numRef>
              <c:f>Sheet1!$B$3:$B$11</c:f>
              <c:numCache>
                <c:formatCode>General</c:formatCode>
                <c:ptCount val="9"/>
                <c:pt idx="0">
                  <c:v>-993</c:v>
                </c:pt>
                <c:pt idx="1">
                  <c:v>-201</c:v>
                </c:pt>
                <c:pt idx="2">
                  <c:v>271</c:v>
                </c:pt>
                <c:pt idx="3">
                  <c:v>66</c:v>
                </c:pt>
                <c:pt idx="4">
                  <c:v>235</c:v>
                </c:pt>
                <c:pt idx="5">
                  <c:v>-76</c:v>
                </c:pt>
                <c:pt idx="6">
                  <c:v>-843</c:v>
                </c:pt>
                <c:pt idx="7">
                  <c:v>-51</c:v>
                </c:pt>
                <c:pt idx="8">
                  <c:v>-1590</c:v>
                </c:pt>
              </c:numCache>
            </c:numRef>
          </c:val>
        </c:ser>
        <c:axId val="85828736"/>
        <c:axId val="85830272"/>
      </c:barChart>
      <c:catAx>
        <c:axId val="85828736"/>
        <c:scaling>
          <c:orientation val="minMax"/>
        </c:scaling>
        <c:axPos val="b"/>
        <c:numFmt formatCode="General" sourceLinked="1"/>
        <c:majorTickMark val="none"/>
        <c:tickLblPos val="nextTo"/>
        <c:crossAx val="85830272"/>
        <c:crosses val="autoZero"/>
        <c:auto val="1"/>
        <c:lblAlgn val="ctr"/>
        <c:lblOffset val="100"/>
      </c:catAx>
      <c:valAx>
        <c:axId val="85830272"/>
        <c:scaling>
          <c:orientation val="minMax"/>
        </c:scaling>
        <c:axPos val="l"/>
        <c:majorGridlines/>
        <c:title>
          <c:tx>
            <c:rich>
              <a:bodyPr rot="0" vert="horz"/>
              <a:lstStyle/>
              <a:p>
                <a:pPr>
                  <a:defRPr/>
                </a:pPr>
                <a:r>
                  <a:rPr lang="en-GB"/>
                  <a:t>£m</a:t>
                </a:r>
              </a:p>
            </c:rich>
          </c:tx>
          <c:layout/>
        </c:title>
        <c:numFmt formatCode="General" sourceLinked="1"/>
        <c:majorTickMark val="none"/>
        <c:tickLblPos val="nextTo"/>
        <c:crossAx val="85828736"/>
        <c:crosses val="autoZero"/>
        <c:crossBetween val="between"/>
      </c:valAx>
      <c:dTable>
        <c:showHorzBorder val="1"/>
        <c:showVertBorder val="1"/>
        <c:showOutline val="1"/>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F2CB-22CF-4D88-A062-8A66EE5E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1460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2013-11-06T15:09:00Z</cp:lastPrinted>
  <dcterms:created xsi:type="dcterms:W3CDTF">2013-11-18T10:53:00Z</dcterms:created>
  <dcterms:modified xsi:type="dcterms:W3CDTF">2013-11-18T10:53:00Z</dcterms:modified>
</cp:coreProperties>
</file>